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Детская психология</w:t>
            </w:r>
          </w:p>
          <w:p>
            <w:pPr>
              <w:jc w:val="center"/>
              <w:spacing w:after="0" w:line="240" w:lineRule="auto"/>
              <w:rPr>
                <w:sz w:val="32"/>
                <w:szCs w:val="32"/>
              </w:rPr>
            </w:pPr>
            <w:r>
              <w:rPr>
                <w:rFonts w:ascii="Times New Roman" w:hAnsi="Times New Roman" w:cs="Times New Roman"/>
                <w:color w:val="#000000"/>
                <w:sz w:val="32"/>
                <w:szCs w:val="32"/>
              </w:rPr>
              <w:t> Б1.В.02.03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«Детская 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Б1.В.02.03 «Детская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«Детская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значение каждого возрастного этапа для развития психических и личностных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подбирать и применять психодиагностический инструментарий для оценки показателей уровня и динамики развития ребенка, первичного выявления отклонений в его развитии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формировать детско-взрослые сообщества</w:t>
            </w:r>
          </w:p>
        </w:tc>
      </w:tr>
      <w:tr>
        <w:trPr>
          <w:trHeight w:hRule="exact" w:val="402.92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владеть стандартизированными методами психодиагностики личностных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 и возрастных особенностей обучающихся</w:t>
            </w:r>
          </w:p>
        </w:tc>
      </w:tr>
      <w:tr>
        <w:trPr>
          <w:trHeight w:hRule="exact" w:val="1937.31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301"/>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психологию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знать  психологию индивидуальных различий</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знать психологию развития (механизмы, факторы)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ПК-9.4 знать методы влияния и управления командой</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ПК-9.5 уметь диагностировать особенности развития детей (совместно с психологом)</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ПК-9.7 владеть методами проектной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ПК-9.8 владеть методами влияния и управления командой</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Б1.В.02.03 «Детская психология»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Система работы учителя по предупреждению неуспеваемости, выявлению и развитию одаренности младших школьников</w:t>
            </w:r>
          </w:p>
          <w:p>
            <w:pPr>
              <w:jc w:val="center"/>
              <w:spacing w:after="0" w:line="240" w:lineRule="auto"/>
              <w:rPr>
                <w:sz w:val="22"/>
                <w:szCs w:val="22"/>
              </w:rPr>
            </w:pPr>
            <w:r>
              <w:rPr>
                <w:rFonts w:ascii="Times New Roman" w:hAnsi="Times New Roman" w:cs="Times New Roman"/>
                <w:color w:val="#000000"/>
                <w:sz w:val="22"/>
                <w:szCs w:val="22"/>
              </w:rPr>
              <w:t> Формирование универсальных учебных действий и оценка достижения образовательных результатов младших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ПК-9</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2.Общая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3.Психологические особенности младенца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Психическое развитие ребёнка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Младшие школьники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Индивидуальное развитие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Психология подросткового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Младший школьник как субъект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1. Закономерности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Движущие силы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Общая характеристика новорожденного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Общая характеристика ребёнка младенческого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Социальная ситуация развития детей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1.Движущие силы и условия психического развития ребёнка.</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Закономерности психического развития. Неравномерность, гетерохронность психического развития. Неустойчивость развития. Сензитивность развития. Кумулятивность психического развития. Дивергентность - конвергентность хода развития. Факторы психического развития. Биологический фактор. Социальный фактор. Теория биологического созревания. Теория ведущей роли среды. Теория конвергенции двух факторов. Движущие силы психического развития. Социальная ситуация развития. Ведущая деятельность. Кризисы развития. Психологические новообразования. Обучение и психическое развитие. Концепции обучения и развития: Э. Торндайка, Ж. Пиаже и Л.С. Выготского. Зона ближайшего развития. Зона актуального развития. Деятельность и психическое развитие. Виды деятельности: учебная, игровая, трудовая. Структура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2.Общая характеристика периода новорождённости.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новорожденного. Социальная ситуация развития. Кризис рождения. Физиологические причины кризиса. Психологические причины кризиса. Направления в развитии мозга новорождённого. Созревание нервных клеток. Покрытие нервных волокон миэлиновой оболочкой.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 «Комплекс оживления» и предпосылки его появления. Основные признаки комплекса оживления. Основные новообразования данного периода. Индивидуальная психическая жизнь новорождённого. Потребность в общении со взрослыми.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3.Психологические особенности младенца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ребёнка младенческого возраста. Социальная ситуация развития. Ведущая деятельность - эмоционально-личностное общение со взрослыми. Развитие познавательной сферы. Особенности развития психических функций младенца. Ручной интеллект. Мотивирующее представление. Развитие эмоциональной сферы. Этапы развития эмоциональной сферы младенца. Эмоциональные проявления. Первые чувства. Детский юмор. Развитие предпосылок речи. Этапы развития речи. Гуканье. Гуление. Лепет. Произнесение первых слов. Развитие действий и движений. Развития движения ног. Развития движения рук. Кризис 1 года. Круг показателей кризисного периода: предметная деятельность, отношения со взрослыми, изменение отношения к себе. Внешние проявления кризиса. Внутренние причины кризиса.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Психическое развитие ребёнка раннего возраста.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ситуация развития. Основные новообразования данного возраста. Возникновение тенденции к самостоятельной деятельности. Развитие прямохождения. Значение прямохождения в жизни человека. Причины побуждающие к прямохождению. Развитие речи. Направления в развитии речи. Развитие активного словаря. Автономная речь. Развитие пассивного словаря. Ситуативность речи. Пусковой характер речи. Ведущий вид деятельности  -  предметная деятельность. Значение предметной деятельности для психического развития ребёнка. Этапы формирования понимания функций предметов. Этап ручного действия. Этап пристального внимания. Орудийные действия. Соотносящие 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5.Условия развития личности дошкольника</w:t>
            </w:r>
          </w:p>
        </w:tc>
      </w:tr>
      <w:tr>
        <w:trPr>
          <w:trHeight w:hRule="exact" w:val="807.02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ситуация развития. Основные новообразования дошкольника. Роль общения ребёнка со взрослыми в психическом развитии. Формы общения по 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Лисиной. Внеситуативно-познавательная форма общения. Внеситуативно-личностная форма общения. Подражание. Ябедничество. Роль общения со сверстниками в психическом развитии. Позиции ребёнка: эгоистическая, гуманистическая, конкурентная. Общение мальчиков и девочек. Осознание половой принадлежности. Детская влюблённость. Детские сообщества. Отрицательное отношение к противоположному полу.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Психологическая готовность ребёнка к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детей 6-7 летнего возраста. Неравномерность психического развития. Морфологическая и функциональная перестройка организма. Виды готовностей к обучению в школе. Физическая готовность к школе. Специальная готовность к обучению. Интеллектуальная готовность к школьному обучению. Личностная (мотивационная) и социально - психологическая готовность. Эмоционально-волевая готовность к школе.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Младшие школьники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Самооценка младших школьников с разной успеваемостью. Мотивация младших школьников с разной успеваемостью. Психологические условия начального обучения. Организация учебной работы младших школьников. Формирование умения планировать; у младших школьников. Межличностные отношения в начальных классах при разной организации учебной деятельности. Половая дифференциация младших школьников в совместной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Индивидуальное развитие школьника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Психическое развитие. Темперамент и характер. Познавательные процессы. Ощущение и восприятие.  Память. Мышление и умственное развитие.  Воображение. Способности. Эмоции и чувства.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Психология подросткового возраста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особенности подростка. Современный подросток. Стадии подросткового возраста. Чувство взрослости подростка. Ценностные ориентации подростков. Оценка труда, вложенного в учение. Подростковый кризис. Школьная дезадаптация в подростковом возрасте. Формы негативного отношения подростков к взрослым. Преодоление конфликтов между подростками. Подростки, склонные к побегам из дома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Условия развития личности дошкольника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Социальная ситуация развития.</w:t>
            </w:r>
          </w:p>
          <w:p>
            <w:pPr>
              <w:jc w:val="both"/>
              <w:spacing w:after="0" w:line="240" w:lineRule="auto"/>
              <w:rPr>
                <w:sz w:val="24"/>
                <w:szCs w:val="24"/>
              </w:rPr>
            </w:pPr>
            <w:r>
              <w:rPr>
                <w:rFonts w:ascii="Times New Roman" w:hAnsi="Times New Roman" w:cs="Times New Roman"/>
                <w:color w:val="#000000"/>
                <w:sz w:val="24"/>
                <w:szCs w:val="24"/>
              </w:rPr>
              <w:t> 2.	Основные новообразования дошкольника.</w:t>
            </w:r>
          </w:p>
          <w:p>
            <w:pPr>
              <w:jc w:val="both"/>
              <w:spacing w:after="0" w:line="240" w:lineRule="auto"/>
              <w:rPr>
                <w:sz w:val="24"/>
                <w:szCs w:val="24"/>
              </w:rPr>
            </w:pPr>
            <w:r>
              <w:rPr>
                <w:rFonts w:ascii="Times New Roman" w:hAnsi="Times New Roman" w:cs="Times New Roman"/>
                <w:color w:val="#000000"/>
                <w:sz w:val="24"/>
                <w:szCs w:val="24"/>
              </w:rPr>
              <w:t> 3.	Роль общения ребёнка со взрослыми в психическом развитии.</w:t>
            </w:r>
          </w:p>
          <w:p>
            <w:pPr>
              <w:jc w:val="both"/>
              <w:spacing w:after="0" w:line="240" w:lineRule="auto"/>
              <w:rPr>
                <w:sz w:val="24"/>
                <w:szCs w:val="24"/>
              </w:rPr>
            </w:pPr>
            <w:r>
              <w:rPr>
                <w:rFonts w:ascii="Times New Roman" w:hAnsi="Times New Roman" w:cs="Times New Roman"/>
                <w:color w:val="#000000"/>
                <w:sz w:val="24"/>
                <w:szCs w:val="24"/>
              </w:rPr>
              <w:t> 4.	Формы общения по М.И. Лисиной.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Психологическая готовность ребёнка к школе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детей 6-7 летнего возраста.</w:t>
            </w:r>
          </w:p>
          <w:p>
            <w:pPr>
              <w:jc w:val="both"/>
              <w:spacing w:after="0" w:line="240" w:lineRule="auto"/>
              <w:rPr>
                <w:sz w:val="24"/>
                <w:szCs w:val="24"/>
              </w:rPr>
            </w:pPr>
            <w:r>
              <w:rPr>
                <w:rFonts w:ascii="Times New Roman" w:hAnsi="Times New Roman" w:cs="Times New Roman"/>
                <w:color w:val="#000000"/>
                <w:sz w:val="24"/>
                <w:szCs w:val="24"/>
              </w:rPr>
              <w:t> 2.	Неравномерность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3.	Морфологическая и функциональная перестройка организма.</w:t>
            </w:r>
          </w:p>
          <w:p>
            <w:pPr>
              <w:jc w:val="both"/>
              <w:spacing w:after="0" w:line="240" w:lineRule="auto"/>
              <w:rPr>
                <w:sz w:val="24"/>
                <w:szCs w:val="24"/>
              </w:rPr>
            </w:pPr>
            <w:r>
              <w:rPr>
                <w:rFonts w:ascii="Times New Roman" w:hAnsi="Times New Roman" w:cs="Times New Roman"/>
                <w:color w:val="#000000"/>
                <w:sz w:val="24"/>
                <w:szCs w:val="24"/>
              </w:rPr>
              <w:t> 4.	Виды готовностей к обучению в школе.</w:t>
            </w:r>
          </w:p>
          <w:p>
            <w:pPr>
              <w:jc w:val="both"/>
              <w:spacing w:after="0" w:line="240" w:lineRule="auto"/>
              <w:rPr>
                <w:sz w:val="24"/>
                <w:szCs w:val="24"/>
              </w:rPr>
            </w:pPr>
            <w:r>
              <w:rPr>
                <w:rFonts w:ascii="Times New Roman" w:hAnsi="Times New Roman" w:cs="Times New Roman"/>
                <w:color w:val="#000000"/>
                <w:sz w:val="24"/>
                <w:szCs w:val="24"/>
              </w:rPr>
              <w:t> 5.	Физическая готовность к школе.</w:t>
            </w:r>
          </w:p>
          <w:p>
            <w:pPr>
              <w:jc w:val="both"/>
              <w:spacing w:after="0" w:line="240" w:lineRule="auto"/>
              <w:rPr>
                <w:sz w:val="24"/>
                <w:szCs w:val="24"/>
              </w:rPr>
            </w:pPr>
            <w:r>
              <w:rPr>
                <w:rFonts w:ascii="Times New Roman" w:hAnsi="Times New Roman" w:cs="Times New Roman"/>
                <w:color w:val="#000000"/>
                <w:sz w:val="24"/>
                <w:szCs w:val="24"/>
              </w:rPr>
              <w:t> 6.	Специальная готовность к обучению.</w:t>
            </w:r>
          </w:p>
          <w:p>
            <w:pPr>
              <w:jc w:val="both"/>
              <w:spacing w:after="0" w:line="240" w:lineRule="auto"/>
              <w:rPr>
                <w:sz w:val="24"/>
                <w:szCs w:val="24"/>
              </w:rPr>
            </w:pPr>
            <w:r>
              <w:rPr>
                <w:rFonts w:ascii="Times New Roman" w:hAnsi="Times New Roman" w:cs="Times New Roman"/>
                <w:color w:val="#000000"/>
                <w:sz w:val="24"/>
                <w:szCs w:val="24"/>
              </w:rPr>
              <w:t> 7.	Интеллектуальная готовность к школьному обучению.</w:t>
            </w:r>
          </w:p>
          <w:p>
            <w:pPr>
              <w:jc w:val="both"/>
              <w:spacing w:after="0" w:line="240" w:lineRule="auto"/>
              <w:rPr>
                <w:sz w:val="24"/>
                <w:szCs w:val="24"/>
              </w:rPr>
            </w:pPr>
            <w:r>
              <w:rPr>
                <w:rFonts w:ascii="Times New Roman" w:hAnsi="Times New Roman" w:cs="Times New Roman"/>
                <w:color w:val="#000000"/>
                <w:sz w:val="24"/>
                <w:szCs w:val="24"/>
              </w:rPr>
              <w:t> 8.	Личностная (мотивационная) и социально - психологическая готовность.</w:t>
            </w:r>
          </w:p>
          <w:p>
            <w:pPr>
              <w:jc w:val="both"/>
              <w:spacing w:after="0" w:line="240" w:lineRule="auto"/>
              <w:rPr>
                <w:sz w:val="24"/>
                <w:szCs w:val="24"/>
              </w:rPr>
            </w:pPr>
            <w:r>
              <w:rPr>
                <w:rFonts w:ascii="Times New Roman" w:hAnsi="Times New Roman" w:cs="Times New Roman"/>
                <w:color w:val="#000000"/>
                <w:sz w:val="24"/>
                <w:szCs w:val="24"/>
              </w:rPr>
              <w:t> 6.	Эмоционально-волевая готовность к школе.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Младший школьник как субъект учебной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1.Структура  учебной  деятельности  как  ведущей  деятельности младшего школьника. 2.Влияние  учебной  деятельности  на  развитие  познавательной функции.3.Влияние учебной деятельности на развитие личности младшего школьника.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1. Закономерности психического развития</w:t>
            </w:r>
          </w:p>
        </w:tc>
      </w:tr>
      <w:tr>
        <w:trPr>
          <w:trHeight w:hRule="exact" w:val="21.31518"/>
        </w:trPr>
        <w:tc>
          <w:tcPr>
            <w:tcW w:w="9640" w:type="dxa"/>
          </w:tcPr>
          <w:p/>
        </w:tc>
      </w:tr>
      <w:tr>
        <w:trPr>
          <w:trHeight w:hRule="exact" w:val="429.68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Закономерности психического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«Житейская» и «научная» психология</w:t>
            </w:r>
          </w:p>
          <w:p>
            <w:pPr>
              <w:jc w:val="left"/>
              <w:spacing w:after="0" w:line="240" w:lineRule="auto"/>
              <w:rPr>
                <w:sz w:val="24"/>
                <w:szCs w:val="24"/>
              </w:rPr>
            </w:pPr>
            <w:r>
              <w:rPr>
                <w:rFonts w:ascii="Times New Roman" w:hAnsi="Times New Roman" w:cs="Times New Roman"/>
                <w:color w:val="#000000"/>
                <w:sz w:val="24"/>
                <w:szCs w:val="24"/>
              </w:rPr>
              <w:t> 3.	Неустойчивость развития. Сензитивность развития. Кумулятивность психического развития.</w:t>
            </w:r>
          </w:p>
          <w:p>
            <w:pPr>
              <w:jc w:val="left"/>
              <w:spacing w:after="0" w:line="240" w:lineRule="auto"/>
              <w:rPr>
                <w:sz w:val="24"/>
                <w:szCs w:val="24"/>
              </w:rPr>
            </w:pPr>
            <w:r>
              <w:rPr>
                <w:rFonts w:ascii="Times New Roman" w:hAnsi="Times New Roman" w:cs="Times New Roman"/>
                <w:color w:val="#000000"/>
                <w:sz w:val="24"/>
                <w:szCs w:val="24"/>
              </w:rPr>
              <w:t> 4.	 Дивергентность - конвергентность хода развития.</w:t>
            </w:r>
          </w:p>
          <w:p>
            <w:pPr>
              <w:jc w:val="left"/>
              <w:spacing w:after="0" w:line="240" w:lineRule="auto"/>
              <w:rPr>
                <w:sz w:val="24"/>
                <w:szCs w:val="24"/>
              </w:rPr>
            </w:pPr>
            <w:r>
              <w:rPr>
                <w:rFonts w:ascii="Times New Roman" w:hAnsi="Times New Roman" w:cs="Times New Roman"/>
                <w:color w:val="#000000"/>
                <w:sz w:val="24"/>
                <w:szCs w:val="24"/>
              </w:rPr>
              <w:t> 5.	Факторы психического развития. Биологический фактор. Социальный фактор.</w:t>
            </w:r>
          </w:p>
          <w:p>
            <w:pPr>
              <w:jc w:val="left"/>
              <w:spacing w:after="0" w:line="240" w:lineRule="auto"/>
              <w:rPr>
                <w:sz w:val="24"/>
                <w:szCs w:val="24"/>
              </w:rPr>
            </w:pPr>
            <w:r>
              <w:rPr>
                <w:rFonts w:ascii="Times New Roman" w:hAnsi="Times New Roman" w:cs="Times New Roman"/>
                <w:color w:val="#000000"/>
                <w:sz w:val="24"/>
                <w:szCs w:val="24"/>
              </w:rPr>
              <w:t> 6.	Теория биологического созревания.</w:t>
            </w:r>
          </w:p>
          <w:p>
            <w:pPr>
              <w:jc w:val="left"/>
              <w:spacing w:after="0" w:line="240" w:lineRule="auto"/>
              <w:rPr>
                <w:sz w:val="24"/>
                <w:szCs w:val="24"/>
              </w:rPr>
            </w:pPr>
            <w:r>
              <w:rPr>
                <w:rFonts w:ascii="Times New Roman" w:hAnsi="Times New Roman" w:cs="Times New Roman"/>
                <w:color w:val="#000000"/>
                <w:sz w:val="24"/>
                <w:szCs w:val="24"/>
              </w:rPr>
              <w:t> 7.	Теория ведущей роли среды.</w:t>
            </w:r>
          </w:p>
          <w:p>
            <w:pPr>
              <w:jc w:val="left"/>
              <w:spacing w:after="0" w:line="240" w:lineRule="auto"/>
              <w:rPr>
                <w:sz w:val="24"/>
                <w:szCs w:val="24"/>
              </w:rPr>
            </w:pPr>
            <w:r>
              <w:rPr>
                <w:rFonts w:ascii="Times New Roman" w:hAnsi="Times New Roman" w:cs="Times New Roman"/>
                <w:color w:val="#000000"/>
                <w:sz w:val="24"/>
                <w:szCs w:val="24"/>
              </w:rPr>
              <w:t> 8.	Теория конвергенции двух факторов</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Движущие силы психического развития.</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Движущие силы психического развития.</w:t>
            </w:r>
          </w:p>
          <w:p>
            <w:pPr>
              <w:jc w:val="left"/>
              <w:spacing w:after="0" w:line="240" w:lineRule="auto"/>
              <w:rPr>
                <w:sz w:val="24"/>
                <w:szCs w:val="24"/>
              </w:rPr>
            </w:pPr>
            <w:r>
              <w:rPr>
                <w:rFonts w:ascii="Times New Roman" w:hAnsi="Times New Roman" w:cs="Times New Roman"/>
                <w:color w:val="#000000"/>
                <w:sz w:val="24"/>
                <w:szCs w:val="24"/>
              </w:rPr>
              <w:t> 2.	Социальная ситуация развития.</w:t>
            </w:r>
          </w:p>
          <w:p>
            <w:pPr>
              <w:jc w:val="left"/>
              <w:spacing w:after="0" w:line="240" w:lineRule="auto"/>
              <w:rPr>
                <w:sz w:val="24"/>
                <w:szCs w:val="24"/>
              </w:rPr>
            </w:pPr>
            <w:r>
              <w:rPr>
                <w:rFonts w:ascii="Times New Roman" w:hAnsi="Times New Roman" w:cs="Times New Roman"/>
                <w:color w:val="#000000"/>
                <w:sz w:val="24"/>
                <w:szCs w:val="24"/>
              </w:rPr>
              <w:t> 3.	 Ведущая деятельность.</w:t>
            </w:r>
          </w:p>
          <w:p>
            <w:pPr>
              <w:jc w:val="left"/>
              <w:spacing w:after="0" w:line="240" w:lineRule="auto"/>
              <w:rPr>
                <w:sz w:val="24"/>
                <w:szCs w:val="24"/>
              </w:rPr>
            </w:pPr>
            <w:r>
              <w:rPr>
                <w:rFonts w:ascii="Times New Roman" w:hAnsi="Times New Roman" w:cs="Times New Roman"/>
                <w:color w:val="#000000"/>
                <w:sz w:val="24"/>
                <w:szCs w:val="24"/>
              </w:rPr>
              <w:t> 4.	Кризисы развития. Психологические новообразования. Обучение и психическое развитие. Концепции обучения и развития: Э. Торндайка, Ж. Пиаже и Л.С. Вы-готского.</w:t>
            </w:r>
          </w:p>
          <w:p>
            <w:pPr>
              <w:jc w:val="left"/>
              <w:spacing w:after="0" w:line="240" w:lineRule="auto"/>
              <w:rPr>
                <w:sz w:val="24"/>
                <w:szCs w:val="24"/>
              </w:rPr>
            </w:pPr>
            <w:r>
              <w:rPr>
                <w:rFonts w:ascii="Times New Roman" w:hAnsi="Times New Roman" w:cs="Times New Roman"/>
                <w:color w:val="#000000"/>
                <w:sz w:val="24"/>
                <w:szCs w:val="24"/>
              </w:rPr>
              <w:t> 5.	 Зона ближайшего развития. Зона актуального развития.</w:t>
            </w:r>
          </w:p>
          <w:p>
            <w:pPr>
              <w:jc w:val="left"/>
              <w:spacing w:after="0" w:line="240" w:lineRule="auto"/>
              <w:rPr>
                <w:sz w:val="24"/>
                <w:szCs w:val="24"/>
              </w:rPr>
            </w:pPr>
            <w:r>
              <w:rPr>
                <w:rFonts w:ascii="Times New Roman" w:hAnsi="Times New Roman" w:cs="Times New Roman"/>
                <w:color w:val="#000000"/>
                <w:sz w:val="24"/>
                <w:szCs w:val="24"/>
              </w:rPr>
              <w:t> 6.	Деятельность и психическое развитие.</w:t>
            </w:r>
          </w:p>
          <w:p>
            <w:pPr>
              <w:jc w:val="left"/>
              <w:spacing w:after="0" w:line="240" w:lineRule="auto"/>
              <w:rPr>
                <w:sz w:val="24"/>
                <w:szCs w:val="24"/>
              </w:rPr>
            </w:pPr>
            <w:r>
              <w:rPr>
                <w:rFonts w:ascii="Times New Roman" w:hAnsi="Times New Roman" w:cs="Times New Roman"/>
                <w:color w:val="#000000"/>
                <w:sz w:val="24"/>
                <w:szCs w:val="24"/>
              </w:rPr>
              <w:t> 7.	Виды деятельности: учебная, игровая, трудовая. Структура деятельности.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Общая характеристика новорожденного</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характеристика новорожденного</w:t>
            </w:r>
          </w:p>
          <w:p>
            <w:pPr>
              <w:jc w:val="left"/>
              <w:spacing w:after="0" w:line="240" w:lineRule="auto"/>
              <w:rPr>
                <w:sz w:val="24"/>
                <w:szCs w:val="24"/>
              </w:rPr>
            </w:pPr>
            <w:r>
              <w:rPr>
                <w:rFonts w:ascii="Times New Roman" w:hAnsi="Times New Roman" w:cs="Times New Roman"/>
                <w:color w:val="#000000"/>
                <w:sz w:val="24"/>
                <w:szCs w:val="24"/>
              </w:rPr>
              <w:t> 2.	Социальная ситуация развития.</w:t>
            </w:r>
          </w:p>
          <w:p>
            <w:pPr>
              <w:jc w:val="left"/>
              <w:spacing w:after="0" w:line="240" w:lineRule="auto"/>
              <w:rPr>
                <w:sz w:val="24"/>
                <w:szCs w:val="24"/>
              </w:rPr>
            </w:pPr>
            <w:r>
              <w:rPr>
                <w:rFonts w:ascii="Times New Roman" w:hAnsi="Times New Roman" w:cs="Times New Roman"/>
                <w:color w:val="#000000"/>
                <w:sz w:val="24"/>
                <w:szCs w:val="24"/>
              </w:rPr>
              <w:t> 3.	Кризис рождения. Физиологические причины кризиса. Психологические причины кризиса.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Общая характеристика ребёнка младенческого возраста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1.Социальная ситуация развития.</w:t>
            </w:r>
          </w:p>
          <w:p>
            <w:pPr>
              <w:jc w:val="left"/>
              <w:spacing w:after="0" w:line="240" w:lineRule="auto"/>
              <w:rPr>
                <w:sz w:val="24"/>
                <w:szCs w:val="24"/>
              </w:rPr>
            </w:pPr>
            <w:r>
              <w:rPr>
                <w:rFonts w:ascii="Times New Roman" w:hAnsi="Times New Roman" w:cs="Times New Roman"/>
                <w:color w:val="#000000"/>
                <w:sz w:val="24"/>
                <w:szCs w:val="24"/>
              </w:rPr>
              <w:t> 2. Ведущая деятельность - эмоционально-личностное общение со взрослыми.</w:t>
            </w:r>
          </w:p>
          <w:p>
            <w:pPr>
              <w:jc w:val="left"/>
              <w:spacing w:after="0" w:line="240" w:lineRule="auto"/>
              <w:rPr>
                <w:sz w:val="24"/>
                <w:szCs w:val="24"/>
              </w:rPr>
            </w:pPr>
            <w:r>
              <w:rPr>
                <w:rFonts w:ascii="Times New Roman" w:hAnsi="Times New Roman" w:cs="Times New Roman"/>
                <w:color w:val="#000000"/>
                <w:sz w:val="24"/>
                <w:szCs w:val="24"/>
              </w:rPr>
              <w:t> 3. Развитие познавательной сферы. Особенности развития психических функций младенца. 4. Ручной интеллект.</w:t>
            </w:r>
          </w:p>
          <w:p>
            <w:pPr>
              <w:jc w:val="left"/>
              <w:spacing w:after="0" w:line="240" w:lineRule="auto"/>
              <w:rPr>
                <w:sz w:val="24"/>
                <w:szCs w:val="24"/>
              </w:rPr>
            </w:pPr>
            <w:r>
              <w:rPr>
                <w:rFonts w:ascii="Times New Roman" w:hAnsi="Times New Roman" w:cs="Times New Roman"/>
                <w:color w:val="#000000"/>
                <w:sz w:val="24"/>
                <w:szCs w:val="24"/>
              </w:rPr>
              <w:t> 5. Мотивирующее представление.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Социальная ситуация развития детей раннего возраста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новообразования данного возраста.</w:t>
            </w:r>
          </w:p>
          <w:p>
            <w:pPr>
              <w:jc w:val="left"/>
              <w:spacing w:after="0" w:line="240" w:lineRule="auto"/>
              <w:rPr>
                <w:sz w:val="24"/>
                <w:szCs w:val="24"/>
              </w:rPr>
            </w:pPr>
            <w:r>
              <w:rPr>
                <w:rFonts w:ascii="Times New Roman" w:hAnsi="Times New Roman" w:cs="Times New Roman"/>
                <w:color w:val="#000000"/>
                <w:sz w:val="24"/>
                <w:szCs w:val="24"/>
              </w:rPr>
              <w:t> 2.	Возникновение тенденции к самостоятельной деятельности.</w:t>
            </w:r>
          </w:p>
          <w:p>
            <w:pPr>
              <w:jc w:val="left"/>
              <w:spacing w:after="0" w:line="240" w:lineRule="auto"/>
              <w:rPr>
                <w:sz w:val="24"/>
                <w:szCs w:val="24"/>
              </w:rPr>
            </w:pPr>
            <w:r>
              <w:rPr>
                <w:rFonts w:ascii="Times New Roman" w:hAnsi="Times New Roman" w:cs="Times New Roman"/>
                <w:color w:val="#000000"/>
                <w:sz w:val="24"/>
                <w:szCs w:val="24"/>
              </w:rPr>
              <w:t> 3.	Развитие прямохождения. Значение прямохождения в жизни человека. Причины, побуждающие к прямохождению.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«Детская психология»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978-5-9916-3850-0.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https://www.biblio-online.ru/bcode/426323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Айгумова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Вачков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Зуев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Казанская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Феоктистова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Фоминова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Швецова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Обухов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978-5-534-00595-0.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https://www.biblio-online.ru/bcode/432772</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https://urait.ru/bcode/429260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Кулагина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978-5-534-00582-0.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https://www.biblio-online.ru/bcode/432867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подросткового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Авдулова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978-5-9916-9438-4.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https://urait.ru/bcode/432935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раннего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детства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978-5-534-08012-4.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https://urait.ru/bcode/424101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детской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Выготский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978-5-534-06998-3.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https://urait.ru/bcode/437739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со</w:t>
            </w:r>
            <w:r>
              <w:rPr/>
              <w:t xml:space="preserve"> </w:t>
            </w:r>
            <w:r>
              <w:rPr>
                <w:rFonts w:ascii="Times New Roman" w:hAnsi="Times New Roman" w:cs="Times New Roman"/>
                <w:color w:val="#000000"/>
                <w:sz w:val="24"/>
                <w:szCs w:val="24"/>
              </w:rPr>
              <w:t>сверстниками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978-5-534-09928-7.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https://urait.ru/bcode/442268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69.0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2023-2024_ФГОС3++2023_Бак-ЗФО-ПО2(ДОиНО)(23)_plx_Детская психология</dc:title>
  <dc:creator>FastReport.NET</dc:creator>
</cp:coreProperties>
</file>